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Elaborazione e definizione di programmi, relazioni previsionali e programmatiche, piani finanziari, programmi triennali ed elenco annuale dei lavori pubblici, bilanci annuali e pluriennali e relative variazioni, rendiconto, piani territoriali ed urbanistici, programmi annuali e pluriennali per la loro attuazione, eventuali deroghe ad essi, pareri da rendere per dette materie.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6E57C6" w:rsidRDefault="00B15D7B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E56A54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E56A5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6E57C6" w:rsidRDefault="00B15D7B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E56A5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entro il 31 dicembre e comunque prima dell'approvazione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Strumenti di tutela giurisdizionali: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56A5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57C6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5D7B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56A54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3FD77A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2026-05-30T21:52:00Z</dcterms:modified>
</cp:coreProperties>
</file>